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F" w:rsidRPr="00B3638F" w:rsidRDefault="00B3638F" w:rsidP="00B3638F">
      <w:pPr>
        <w:ind w:left="1440"/>
        <w:rPr>
          <w:rFonts w:ascii="Calibri" w:hAnsi="Calibri"/>
          <w:highlight w:val="yellow"/>
          <w:lang w:val="en-GB"/>
        </w:rPr>
      </w:pPr>
    </w:p>
    <w:p w:rsidR="004743CB" w:rsidRDefault="00157575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IO5 Interactive Too</w:t>
      </w:r>
      <w:r w:rsidR="00817880">
        <w:rPr>
          <w:rFonts w:ascii="Calibri" w:hAnsi="Calibri" w:cs="Tahoma"/>
          <w:b/>
          <w:sz w:val="36"/>
          <w:szCs w:val="36"/>
          <w:u w:val="single"/>
        </w:rPr>
        <w:t xml:space="preserve">ls </w:t>
      </w:r>
    </w:p>
    <w:p w:rsidR="004743CB" w:rsidRDefault="004743CB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4743CB" w:rsidRPr="004743CB" w:rsidRDefault="004743CB" w:rsidP="00FE2D06">
      <w:pPr>
        <w:jc w:val="center"/>
        <w:rPr>
          <w:rFonts w:ascii="Calibri" w:hAnsi="Calibri" w:cs="Tahoma"/>
          <w:sz w:val="28"/>
          <w:szCs w:val="28"/>
        </w:rPr>
      </w:pPr>
      <w:r w:rsidRPr="004743CB">
        <w:rPr>
          <w:rFonts w:ascii="Calibri" w:hAnsi="Calibri" w:cs="Tahoma"/>
          <w:sz w:val="28"/>
          <w:szCs w:val="28"/>
        </w:rPr>
        <w:t>Questions 1-10 (Multiple Choice)</w:t>
      </w:r>
      <w:r w:rsidR="00796F25">
        <w:rPr>
          <w:rFonts w:ascii="Calibri" w:hAnsi="Calibri" w:cs="Tahoma"/>
          <w:sz w:val="28"/>
          <w:szCs w:val="28"/>
        </w:rPr>
        <w:t xml:space="preserve"> with correct answers </w:t>
      </w:r>
    </w:p>
    <w:p w:rsidR="004743CB" w:rsidRPr="004743CB" w:rsidRDefault="004743CB" w:rsidP="00FE2D06">
      <w:pPr>
        <w:jc w:val="center"/>
        <w:rPr>
          <w:rFonts w:ascii="Calibri" w:hAnsi="Calibri" w:cs="Tahoma"/>
          <w:sz w:val="28"/>
          <w:szCs w:val="28"/>
        </w:rPr>
      </w:pPr>
      <w:r w:rsidRPr="004743CB">
        <w:rPr>
          <w:rFonts w:ascii="Calibri" w:hAnsi="Calibri" w:cs="Tahoma"/>
          <w:sz w:val="28"/>
          <w:szCs w:val="28"/>
        </w:rPr>
        <w:t>Questions 11-20 (Written Ans</w:t>
      </w:r>
      <w:bookmarkStart w:id="0" w:name="_GoBack"/>
      <w:bookmarkEnd w:id="0"/>
      <w:r w:rsidRPr="004743CB">
        <w:rPr>
          <w:rFonts w:ascii="Calibri" w:hAnsi="Calibri" w:cs="Tahoma"/>
          <w:sz w:val="28"/>
          <w:szCs w:val="28"/>
        </w:rPr>
        <w:t>wer)</w:t>
      </w:r>
      <w:r w:rsidR="00796F25">
        <w:rPr>
          <w:rFonts w:ascii="Calibri" w:hAnsi="Calibri" w:cs="Tahoma"/>
          <w:sz w:val="28"/>
          <w:szCs w:val="28"/>
        </w:rPr>
        <w:t xml:space="preserve"> with correct answers</w:t>
      </w:r>
    </w:p>
    <w:p w:rsidR="004743CB" w:rsidRDefault="004743CB">
      <w:pPr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br w:type="page"/>
      </w:r>
    </w:p>
    <w:p w:rsidR="00FE2D06" w:rsidRPr="00AF5044" w:rsidRDefault="00FE2D06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FE2D06" w:rsidRDefault="00FE2D06" w:rsidP="00FE2D06">
      <w:pPr>
        <w:pBdr>
          <w:bottom w:val="single" w:sz="12" w:space="1" w:color="auto"/>
        </w:pBdr>
        <w:ind w:right="-90"/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11016"/>
      </w:tblGrid>
      <w:tr w:rsidR="00FE2D06" w:rsidTr="00344EC4">
        <w:tc>
          <w:tcPr>
            <w:tcW w:w="11016" w:type="dxa"/>
            <w:shd w:val="clear" w:color="auto" w:fill="F2F2F2" w:themeFill="background1" w:themeFillShade="F2"/>
          </w:tcPr>
          <w:p w:rsidR="00FE2D06" w:rsidRDefault="004743CB" w:rsidP="00FE2D06">
            <w:pPr>
              <w:pBdr>
                <w:bottom w:val="single" w:sz="12" w:space="1" w:color="auto"/>
              </w:pBd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Questions 1-10 (Multiple Choice)</w:t>
            </w: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00"/>
        <w:gridCol w:w="2134"/>
        <w:gridCol w:w="2145"/>
        <w:gridCol w:w="2156"/>
      </w:tblGrid>
      <w:tr w:rsidR="008C1121" w:rsidTr="008C1121">
        <w:tc>
          <w:tcPr>
            <w:tcW w:w="2200" w:type="dxa"/>
            <w:vMerge w:val="restart"/>
          </w:tcPr>
          <w:p w:rsidR="008C1121" w:rsidRPr="008C1121" w:rsidRDefault="008C1121" w:rsidP="008C1121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8C1121">
              <w:rPr>
                <w:rFonts w:cs="Tahoma"/>
              </w:rPr>
              <w:t>“Learner Engagement” is predicated on the belief that learning improves when learners are inquisitive, interested, or inspired.</w:t>
            </w:r>
          </w:p>
        </w:tc>
        <w:tc>
          <w:tcPr>
            <w:tcW w:w="2134" w:type="dxa"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45" w:type="dxa"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6" w:type="dxa"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Tr="008C1121">
        <w:tc>
          <w:tcPr>
            <w:tcW w:w="2200" w:type="dxa"/>
            <w:vMerge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:rsidR="008C1121" w:rsidRDefault="00430CC5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5" w:type="dxa"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</w:tcPr>
          <w:p w:rsidR="008C1121" w:rsidRDefault="008C112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83"/>
        <w:gridCol w:w="2148"/>
        <w:gridCol w:w="2146"/>
        <w:gridCol w:w="2164"/>
      </w:tblGrid>
      <w:tr w:rsidR="008C1121" w:rsidTr="008C1121">
        <w:tc>
          <w:tcPr>
            <w:tcW w:w="2183" w:type="dxa"/>
            <w:vMerge w:val="restart"/>
          </w:tcPr>
          <w:p w:rsidR="008C1121" w:rsidRPr="00152A55" w:rsidRDefault="00152A55" w:rsidP="00152A55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cs="Tahoma"/>
              </w:rPr>
            </w:pPr>
            <w:r w:rsidRPr="00152A55">
              <w:rPr>
                <w:rFonts w:cs="Tahoma"/>
              </w:rPr>
              <w:t xml:space="preserve">Teachers </w:t>
            </w:r>
            <w:r w:rsidR="00430CC5">
              <w:rPr>
                <w:rFonts w:cs="Tahoma"/>
              </w:rPr>
              <w:t>should not</w:t>
            </w:r>
            <w:r w:rsidRPr="00152A55">
              <w:rPr>
                <w:rFonts w:cs="Tahoma"/>
              </w:rPr>
              <w:t xml:space="preserve"> think about learning before they think about teaching. </w:t>
            </w:r>
          </w:p>
        </w:tc>
        <w:tc>
          <w:tcPr>
            <w:tcW w:w="2148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46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64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Tr="008C1121">
        <w:tc>
          <w:tcPr>
            <w:tcW w:w="2183" w:type="dxa"/>
            <w:vMerge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8C1121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64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50"/>
        <w:gridCol w:w="2148"/>
        <w:gridCol w:w="2166"/>
      </w:tblGrid>
      <w:tr w:rsidR="008C1121" w:rsidRPr="00120501" w:rsidTr="008C1121">
        <w:tc>
          <w:tcPr>
            <w:tcW w:w="2175" w:type="dxa"/>
            <w:vMerge w:val="restart"/>
          </w:tcPr>
          <w:p w:rsidR="008C1121" w:rsidRPr="00152A55" w:rsidRDefault="00152A55" w:rsidP="00152A55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cs="Tahoma"/>
                <w:color w:val="000000"/>
              </w:rPr>
            </w:pPr>
            <w:r w:rsidRPr="00152A55">
              <w:rPr>
                <w:rFonts w:cs="Tahoma"/>
                <w:color w:val="000000"/>
              </w:rPr>
              <w:t xml:space="preserve">The brain is designed to get complex learning correct the first time. </w:t>
            </w:r>
          </w:p>
        </w:tc>
        <w:tc>
          <w:tcPr>
            <w:tcW w:w="2150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48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66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120501" w:rsidTr="008C1121">
        <w:tc>
          <w:tcPr>
            <w:tcW w:w="2175" w:type="dxa"/>
            <w:vMerge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8C1121" w:rsidRPr="00120501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66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152"/>
        <w:gridCol w:w="2149"/>
        <w:gridCol w:w="2166"/>
      </w:tblGrid>
      <w:tr w:rsidR="008C1121" w:rsidRPr="00F917C6" w:rsidTr="008C1121">
        <w:tc>
          <w:tcPr>
            <w:tcW w:w="2174" w:type="dxa"/>
            <w:vMerge w:val="restart"/>
          </w:tcPr>
          <w:p w:rsidR="008C1121" w:rsidRPr="00152A55" w:rsidRDefault="00152A55" w:rsidP="00152A55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152A55">
              <w:rPr>
                <w:rFonts w:cs="Tahoma"/>
              </w:rPr>
              <w:t xml:space="preserve">Learners expect to be engaged in their daily lives, outside of the </w:t>
            </w:r>
            <w:r w:rsidRPr="00152A55">
              <w:rPr>
                <w:rFonts w:cs="Tahoma"/>
              </w:rPr>
              <w:lastRenderedPageBreak/>
              <w:t>classroom.</w:t>
            </w:r>
          </w:p>
        </w:tc>
        <w:tc>
          <w:tcPr>
            <w:tcW w:w="2152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Correct</w:t>
            </w:r>
          </w:p>
        </w:tc>
        <w:tc>
          <w:tcPr>
            <w:tcW w:w="2149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66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F917C6" w:rsidTr="008C1121">
        <w:tc>
          <w:tcPr>
            <w:tcW w:w="2174" w:type="dxa"/>
            <w:vMerge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:rsidR="008C1121" w:rsidRPr="00F917C6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9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83280" w:rsidRDefault="00483280" w:rsidP="00FE2D06">
      <w:pPr>
        <w:pBdr>
          <w:bottom w:val="single" w:sz="12" w:space="1" w:color="auto"/>
        </w:pBdr>
        <w:ind w:right="-9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34"/>
        <w:gridCol w:w="2169"/>
        <w:gridCol w:w="2154"/>
      </w:tblGrid>
      <w:tr w:rsidR="008C1121" w:rsidRPr="00120501" w:rsidTr="008C1121">
        <w:tc>
          <w:tcPr>
            <w:tcW w:w="2163" w:type="dxa"/>
            <w:vMerge w:val="restart"/>
          </w:tcPr>
          <w:p w:rsidR="008C1121" w:rsidRPr="00BF432C" w:rsidRDefault="00BF432C" w:rsidP="00BF432C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Learner compliance equals engagement.</w:t>
            </w:r>
            <w:r w:rsidR="008C1121" w:rsidRPr="00BF432C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69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4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120501" w:rsidTr="008C1121">
        <w:trPr>
          <w:trHeight w:val="458"/>
        </w:trPr>
        <w:tc>
          <w:tcPr>
            <w:tcW w:w="2163" w:type="dxa"/>
            <w:vMerge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8C1121" w:rsidRPr="00120501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54" w:type="dxa"/>
          </w:tcPr>
          <w:p w:rsidR="008C1121" w:rsidRPr="0012050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2151"/>
        <w:gridCol w:w="2152"/>
        <w:gridCol w:w="2155"/>
      </w:tblGrid>
      <w:tr w:rsidR="008C1121" w:rsidRPr="00F917C6" w:rsidTr="008C1121">
        <w:tc>
          <w:tcPr>
            <w:tcW w:w="2161" w:type="dxa"/>
            <w:vMerge w:val="restart"/>
          </w:tcPr>
          <w:p w:rsidR="008C1121" w:rsidRPr="005A12E5" w:rsidRDefault="005A12E5" w:rsidP="005A12E5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cs="Tahoma"/>
                <w:color w:val="000000"/>
              </w:rPr>
            </w:pPr>
            <w:r w:rsidRPr="005A12E5">
              <w:rPr>
                <w:rFonts w:cs="Tahoma"/>
                <w:color w:val="000000"/>
              </w:rPr>
              <w:t xml:space="preserve">Interacting with other learners is </w:t>
            </w:r>
            <w:r w:rsidR="00337457">
              <w:rPr>
                <w:rFonts w:cs="Tahoma"/>
                <w:color w:val="000000"/>
              </w:rPr>
              <w:t xml:space="preserve">not </w:t>
            </w:r>
            <w:r w:rsidRPr="005A12E5">
              <w:rPr>
                <w:rFonts w:cs="Tahoma"/>
                <w:color w:val="000000"/>
              </w:rPr>
              <w:t>a function of Teacher-</w:t>
            </w:r>
            <w:proofErr w:type="spellStart"/>
            <w:r w:rsidRPr="005A12E5">
              <w:rPr>
                <w:rFonts w:cs="Tahoma"/>
                <w:color w:val="000000"/>
              </w:rPr>
              <w:t>centered</w:t>
            </w:r>
            <w:proofErr w:type="spellEnd"/>
            <w:r w:rsidRPr="005A12E5">
              <w:rPr>
                <w:rFonts w:cs="Tahoma"/>
                <w:color w:val="000000"/>
              </w:rPr>
              <w:t xml:space="preserve"> learning.</w:t>
            </w:r>
          </w:p>
        </w:tc>
        <w:tc>
          <w:tcPr>
            <w:tcW w:w="2151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52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5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F917C6" w:rsidTr="008C1121">
        <w:trPr>
          <w:trHeight w:val="467"/>
        </w:trPr>
        <w:tc>
          <w:tcPr>
            <w:tcW w:w="2161" w:type="dxa"/>
            <w:vMerge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:rsidR="008C1121" w:rsidRPr="00F917C6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55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D658E5" w:rsidP="00152A55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76"/>
        <w:gridCol w:w="2147"/>
        <w:gridCol w:w="2148"/>
        <w:gridCol w:w="2151"/>
      </w:tblGrid>
      <w:tr w:rsidR="008C1121" w:rsidTr="008C1121">
        <w:tc>
          <w:tcPr>
            <w:tcW w:w="2176" w:type="dxa"/>
            <w:vMerge w:val="restart"/>
          </w:tcPr>
          <w:p w:rsidR="008C1121" w:rsidRPr="00515F61" w:rsidRDefault="00515F61" w:rsidP="00515F61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515F61">
              <w:rPr>
                <w:rFonts w:cs="Tahoma"/>
              </w:rPr>
              <w:t>Learning tends to suffer when learners are bored, dispassionate, disaffected, or otherwise “disengaged.”</w:t>
            </w:r>
          </w:p>
        </w:tc>
        <w:tc>
          <w:tcPr>
            <w:tcW w:w="2147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48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1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Tr="008C1121">
        <w:tc>
          <w:tcPr>
            <w:tcW w:w="2176" w:type="dxa"/>
            <w:vMerge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8C1121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8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149"/>
        <w:gridCol w:w="2150"/>
        <w:gridCol w:w="2153"/>
      </w:tblGrid>
      <w:tr w:rsidR="008C1121" w:rsidRPr="00F917C6" w:rsidTr="008C1121">
        <w:tc>
          <w:tcPr>
            <w:tcW w:w="2168" w:type="dxa"/>
            <w:vMerge w:val="restart"/>
          </w:tcPr>
          <w:p w:rsidR="008C1121" w:rsidRPr="002A0707" w:rsidRDefault="002A0707" w:rsidP="002A0707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2A0707">
              <w:rPr>
                <w:rFonts w:cs="Tahoma"/>
              </w:rPr>
              <w:t xml:space="preserve">For learners to be truly </w:t>
            </w:r>
            <w:r w:rsidRPr="002A0707">
              <w:rPr>
                <w:rFonts w:cs="Tahoma"/>
                <w:bCs/>
              </w:rPr>
              <w:t>engaged</w:t>
            </w:r>
            <w:r w:rsidRPr="002A0707">
              <w:rPr>
                <w:rFonts w:cs="Tahoma"/>
              </w:rPr>
              <w:t xml:space="preserve"> means that learners are </w:t>
            </w:r>
            <w:r w:rsidRPr="002A0707">
              <w:rPr>
                <w:rFonts w:cs="Tahoma"/>
                <w:bCs/>
              </w:rPr>
              <w:t>active in the learning process, which relates directly to intrinsic motivation!</w:t>
            </w:r>
          </w:p>
        </w:tc>
        <w:tc>
          <w:tcPr>
            <w:tcW w:w="2149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50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3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F917C6" w:rsidTr="008C1121">
        <w:tc>
          <w:tcPr>
            <w:tcW w:w="2168" w:type="dxa"/>
            <w:vMerge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</w:tcPr>
          <w:p w:rsidR="008C1121" w:rsidRPr="00F917C6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50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153"/>
        <w:gridCol w:w="2157"/>
        <w:gridCol w:w="2159"/>
      </w:tblGrid>
      <w:tr w:rsidR="008C1121" w:rsidRPr="00206B5F" w:rsidTr="008C1121">
        <w:tc>
          <w:tcPr>
            <w:tcW w:w="2166" w:type="dxa"/>
            <w:vMerge w:val="restart"/>
          </w:tcPr>
          <w:p w:rsidR="008C1121" w:rsidRPr="00337457" w:rsidRDefault="003E07B0" w:rsidP="00337457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337457">
              <w:rPr>
                <w:rFonts w:cs="Tahoma"/>
              </w:rPr>
              <w:t>For a learner to be engaged they also need to be attentive.</w:t>
            </w:r>
          </w:p>
        </w:tc>
        <w:tc>
          <w:tcPr>
            <w:tcW w:w="2153" w:type="dxa"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57" w:type="dxa"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9" w:type="dxa"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206B5F" w:rsidTr="008C1121">
        <w:tc>
          <w:tcPr>
            <w:tcW w:w="2166" w:type="dxa"/>
            <w:vMerge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</w:tcPr>
          <w:p w:rsidR="008C1121" w:rsidRPr="00206B5F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57" w:type="dxa"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8C1121" w:rsidRPr="00206B5F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83280" w:rsidRDefault="00483280" w:rsidP="00FE2D06">
      <w:pPr>
        <w:pBdr>
          <w:bottom w:val="single" w:sz="12" w:space="1" w:color="auto"/>
        </w:pBdr>
        <w:ind w:right="-90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148"/>
        <w:gridCol w:w="2149"/>
        <w:gridCol w:w="2152"/>
      </w:tblGrid>
      <w:tr w:rsidR="008C1121" w:rsidRPr="00F917C6" w:rsidTr="004743CB">
        <w:tc>
          <w:tcPr>
            <w:tcW w:w="2173" w:type="dxa"/>
            <w:vMerge w:val="restart"/>
          </w:tcPr>
          <w:p w:rsidR="008C1121" w:rsidRPr="00337457" w:rsidRDefault="00337457" w:rsidP="00337457">
            <w:pPr>
              <w:pStyle w:val="ListParagraph"/>
              <w:numPr>
                <w:ilvl w:val="0"/>
                <w:numId w:val="22"/>
              </w:numPr>
              <w:ind w:right="-90"/>
              <w:rPr>
                <w:color w:val="000000"/>
                <w:sz w:val="28"/>
                <w:szCs w:val="28"/>
              </w:rPr>
            </w:pPr>
            <w:r w:rsidRPr="00337457">
              <w:rPr>
                <w:rFonts w:cs="Tahoma"/>
              </w:rPr>
              <w:t>The engaged learner sticks with the task at hand even when it presents difficulties.</w:t>
            </w:r>
          </w:p>
        </w:tc>
        <w:tc>
          <w:tcPr>
            <w:tcW w:w="2148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149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152" w:type="dxa"/>
          </w:tcPr>
          <w:p w:rsidR="008C1121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Not Applicable</w:t>
            </w:r>
          </w:p>
        </w:tc>
      </w:tr>
      <w:tr w:rsidR="008C1121" w:rsidRPr="00F917C6" w:rsidTr="004743CB">
        <w:tc>
          <w:tcPr>
            <w:tcW w:w="2173" w:type="dxa"/>
            <w:vMerge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</w:tcPr>
          <w:p w:rsidR="008C1121" w:rsidRPr="00F917C6" w:rsidRDefault="00430CC5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9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:rsidR="008C1121" w:rsidRPr="00F917C6" w:rsidRDefault="008C1121" w:rsidP="008C112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344EC4" w:rsidRDefault="00344EC4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>
      <w:pPr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br w:type="page"/>
      </w:r>
    </w:p>
    <w:p w:rsidR="00483280" w:rsidRDefault="00483280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shd w:val="clear" w:color="auto" w:fill="F2F2F2" w:themeFill="background1" w:themeFillShade="F2"/>
        <w:tblLook w:val="04A0"/>
      </w:tblPr>
      <w:tblGrid>
        <w:gridCol w:w="10790"/>
      </w:tblGrid>
      <w:tr w:rsidR="004743CB" w:rsidTr="00CA1130">
        <w:tc>
          <w:tcPr>
            <w:tcW w:w="10790" w:type="dxa"/>
            <w:shd w:val="clear" w:color="auto" w:fill="F2F2F2" w:themeFill="background1" w:themeFillShade="F2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Questions 11-20 (Written Answer)</w:t>
            </w:r>
          </w:p>
        </w:tc>
      </w:tr>
    </w:tbl>
    <w:p w:rsidR="004743CB" w:rsidRDefault="004743CB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4743CB">
        <w:trPr>
          <w:trHeight w:val="4134"/>
        </w:trPr>
        <w:tc>
          <w:tcPr>
            <w:tcW w:w="2167" w:type="dxa"/>
          </w:tcPr>
          <w:p w:rsidR="004743CB" w:rsidRPr="00344EC4" w:rsidRDefault="0002521F" w:rsidP="005F75A6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11. Define the term Learner Engagement.</w:t>
            </w:r>
          </w:p>
        </w:tc>
        <w:tc>
          <w:tcPr>
            <w:tcW w:w="8623" w:type="dxa"/>
          </w:tcPr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B96FA1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“Learner Engagement” is predicated on the belief that learning improves when learners are inquisitive, interested, or inspired.</w:t>
            </w: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5F75A6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AF5044" w:rsidRDefault="00AF5044" w:rsidP="00FE2D06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4743CB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12. What are the 3 rules for engaging learners?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1.  Teachers must think about learning before they think about teaching. (Jensen)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2.  The brain is not designed to get complex learning correct the first time. (Jensen)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3.  Learners expect to be engaged in their daily lives, outside of the classroom. (</w:t>
            </w:r>
            <w:proofErr w:type="spellStart"/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Perensky</w:t>
            </w:r>
            <w:proofErr w:type="spellEnd"/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, 2005) 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D658E5" w:rsidRDefault="00D658E5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p w:rsidR="004743CB" w:rsidRDefault="004743CB" w:rsidP="00FE2D06">
      <w:pPr>
        <w:ind w:right="-90"/>
        <w:jc w:val="both"/>
        <w:rPr>
          <w:rFonts w:ascii="Calibri" w:hAnsi="Calibri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4743CB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13. What is Teacher-directed learning?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Paying attention (alert, tracking with their eyes)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Taking notes 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Listening (as opposed to chatting, or sleeping) 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Asking questions 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Responding to questions 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Following requests </w:t>
            </w:r>
          </w:p>
          <w:p w:rsidR="00C16F4D" w:rsidRPr="00B96FA1" w:rsidRDefault="00C85BCC" w:rsidP="00B96FA1">
            <w:pPr>
              <w:numPr>
                <w:ilvl w:val="0"/>
                <w:numId w:val="23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Reacting (laughing, crying, shouting, etc.) 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FE2D06" w:rsidRDefault="00FE2D06" w:rsidP="00FE2D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4743CB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lastRenderedPageBreak/>
              <w:t>14. What is Learner-Centered learning?</w:t>
            </w:r>
          </w:p>
        </w:tc>
        <w:tc>
          <w:tcPr>
            <w:tcW w:w="8623" w:type="dxa"/>
          </w:tcPr>
          <w:p w:rsidR="00C16F4D" w:rsidRPr="00B96FA1" w:rsidRDefault="00C85BCC" w:rsidP="00B96FA1">
            <w:pPr>
              <w:numPr>
                <w:ilvl w:val="0"/>
                <w:numId w:val="24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Reading critically (pen in hand, electronic aides) </w:t>
            </w:r>
          </w:p>
          <w:p w:rsidR="00C16F4D" w:rsidRPr="00B96FA1" w:rsidRDefault="00C85BCC" w:rsidP="00B96FA1">
            <w:pPr>
              <w:numPr>
                <w:ilvl w:val="0"/>
                <w:numId w:val="24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Writing to learn, creating, planning, problem solving, discussing, debating, and asking questions) </w:t>
            </w:r>
          </w:p>
          <w:p w:rsidR="00C16F4D" w:rsidRPr="00B96FA1" w:rsidRDefault="00C85BCC" w:rsidP="00B96FA1">
            <w:pPr>
              <w:numPr>
                <w:ilvl w:val="0"/>
                <w:numId w:val="24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Performing/presenting, inquiring, exploring, explaining, evaluating, and experimenting)</w:t>
            </w:r>
          </w:p>
          <w:p w:rsidR="00C16F4D" w:rsidRPr="00B96FA1" w:rsidRDefault="00C85BCC" w:rsidP="00B96FA1">
            <w:pPr>
              <w:numPr>
                <w:ilvl w:val="0"/>
                <w:numId w:val="24"/>
              </w:num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Interacting with other learners, gesturing and moving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p w:rsidR="004743CB" w:rsidRDefault="004743CB" w:rsidP="00FE2D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4743CB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15. Identify some of the characteristics that motivate and engage learners.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Characteristics that Motivate &amp; Engage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-Instructor's enthusiasm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-Making the content relevant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-Organization of the lesson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-Appropriate difficulty level of the material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-Active involvement of learners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-Variety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-Rapport between teacher and learners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-Use of appropriate, concrete, and understandable examples </w:t>
            </w:r>
          </w:p>
          <w:p w:rsidR="00B96FA1" w:rsidRPr="00B96FA1" w:rsidRDefault="00B96FA1" w:rsidP="00B96FA1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B96FA1">
              <w:rPr>
                <w:rFonts w:ascii="Calibri" w:hAnsi="Calibri"/>
                <w:b/>
                <w:color w:val="000000"/>
                <w:sz w:val="28"/>
                <w:szCs w:val="28"/>
              </w:rPr>
              <w:t>(Sass, 1989)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FE2D06">
      <w:pPr>
        <w:rPr>
          <w:rFonts w:ascii="Calibri" w:hAnsi="Calibri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CA1130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lastRenderedPageBreak/>
              <w:t>16. Describe the link between Mastery and Engagement.</w:t>
            </w:r>
          </w:p>
        </w:tc>
        <w:tc>
          <w:tcPr>
            <w:tcW w:w="8623" w:type="dxa"/>
          </w:tcPr>
          <w:p w:rsidR="004743CB" w:rsidRDefault="00B96FA1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Learners cannot be engaged in the content unless they feel they can master it, or at least feel that they can master part of it.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CA1130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17. Describe the link between Purpose and Engagement.</w:t>
            </w:r>
          </w:p>
        </w:tc>
        <w:tc>
          <w:tcPr>
            <w:tcW w:w="8623" w:type="dxa"/>
          </w:tcPr>
          <w:p w:rsidR="004743CB" w:rsidRDefault="00F801B8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Learners need to see an application of the teaching content that they can relate to, and that is meaningful to them.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FE2D06">
      <w:pPr>
        <w:rPr>
          <w:rFonts w:ascii="Calibri" w:hAnsi="Calibri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CA1130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18. Describe the link between Autonomy and Engagement.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A1172C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Learners need to feel that they have the autonomy and empowerment to make decisions in the teaching process in order to feel engaged.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p w:rsidR="004743CB" w:rsidRDefault="004743CB" w:rsidP="004743CB">
      <w:pPr>
        <w:ind w:right="-90"/>
        <w:jc w:val="both"/>
        <w:rPr>
          <w:rFonts w:ascii="Calibri" w:hAnsi="Calibri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CA1130">
        <w:trPr>
          <w:trHeight w:val="4134"/>
        </w:trPr>
        <w:tc>
          <w:tcPr>
            <w:tcW w:w="2167" w:type="dxa"/>
          </w:tcPr>
          <w:p w:rsidR="004743CB" w:rsidRPr="00344EC4" w:rsidRDefault="0002521F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>19. Identify several components that have to be present when planning an engaging lesson.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nergy</w:t>
            </w:r>
            <w:proofErr w:type="spellEnd"/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oise</w:t>
            </w:r>
            <w:proofErr w:type="spellEnd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level</w:t>
            </w:r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G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rabs</w:t>
            </w:r>
            <w:proofErr w:type="spellEnd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attention</w:t>
            </w:r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ctive</w:t>
            </w:r>
            <w:proofErr w:type="spellEnd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participation</w:t>
            </w:r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G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ains</w:t>
            </w:r>
            <w:proofErr w:type="spellEnd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new knowledge</w:t>
            </w:r>
          </w:p>
          <w:p w:rsidR="00DF24C3" w:rsidRPr="00DF24C3" w:rsidRDefault="00DF24C3" w:rsidP="00DF24C3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</w:pPr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>nriching</w:t>
            </w:r>
            <w:proofErr w:type="spellEnd"/>
            <w:r w:rsidRPr="00DF24C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activities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Default="004743CB" w:rsidP="00FE2D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8623"/>
      </w:tblGrid>
      <w:tr w:rsidR="004743CB" w:rsidRPr="00F917C6" w:rsidTr="00CA1130">
        <w:trPr>
          <w:trHeight w:val="4134"/>
        </w:trPr>
        <w:tc>
          <w:tcPr>
            <w:tcW w:w="2167" w:type="dxa"/>
          </w:tcPr>
          <w:p w:rsidR="004743CB" w:rsidRPr="00344EC4" w:rsidRDefault="00B200F4" w:rsidP="00CA1130">
            <w:pPr>
              <w:ind w:right="-9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</w:rPr>
              <w:t xml:space="preserve">20. </w:t>
            </w:r>
            <w:r w:rsidR="0002521F">
              <w:rPr>
                <w:rFonts w:ascii="Calibri" w:hAnsi="Calibri" w:cs="Tahoma"/>
              </w:rPr>
              <w:t xml:space="preserve">How does engagement relate to </w:t>
            </w:r>
            <w:r>
              <w:rPr>
                <w:rFonts w:ascii="Calibri" w:hAnsi="Calibri" w:cs="Tahoma"/>
              </w:rPr>
              <w:t>intrinsic motivation? Please explain.</w:t>
            </w:r>
          </w:p>
        </w:tc>
        <w:tc>
          <w:tcPr>
            <w:tcW w:w="8623" w:type="dxa"/>
          </w:tcPr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796F25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For</w:t>
            </w:r>
            <w:r w:rsidRPr="00796F2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learners to be truly </w:t>
            </w:r>
            <w:r w:rsidRPr="00796F2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engaged</w:t>
            </w:r>
            <w:r w:rsidRPr="00796F2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means that learners are </w:t>
            </w:r>
            <w:r w:rsidRPr="00796F2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active in the learning process, which relates directly to intrinsic motivation!</w:t>
            </w: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4743CB" w:rsidRDefault="004743CB" w:rsidP="00CA1130">
            <w:pPr>
              <w:ind w:right="-9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4743CB" w:rsidRPr="001D1982" w:rsidRDefault="004743CB" w:rsidP="00FE2D06">
      <w:pPr>
        <w:rPr>
          <w:rFonts w:ascii="Calibri" w:hAnsi="Calibri"/>
        </w:rPr>
      </w:pPr>
    </w:p>
    <w:sectPr w:rsidR="004743CB" w:rsidRPr="001D1982" w:rsidSect="007971FF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54" w:rsidRDefault="00551554" w:rsidP="009B4C52">
      <w:r>
        <w:separator/>
      </w:r>
    </w:p>
  </w:endnote>
  <w:endnote w:type="continuationSeparator" w:id="0">
    <w:p w:rsidR="00551554" w:rsidRDefault="00551554" w:rsidP="009B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6D" w:rsidRPr="00B20A6D" w:rsidRDefault="00B20A6D" w:rsidP="00B20A6D">
    <w:pPr>
      <w:pStyle w:val="Header"/>
      <w:rPr>
        <w:rFonts w:asciiTheme="minorHAnsi" w:hAnsiTheme="minorHAnsi"/>
        <w:b/>
      </w:rPr>
    </w:pPr>
    <w:r w:rsidRPr="00B20A6D">
      <w:rPr>
        <w:rFonts w:asciiTheme="minorHAnsi" w:hAnsiTheme="minorHAnsi"/>
        <w:b/>
      </w:rPr>
      <w:t>Erasmus+ Project: I-</w:t>
    </w:r>
    <w:proofErr w:type="spellStart"/>
    <w:r w:rsidRPr="00B20A6D">
      <w:rPr>
        <w:rFonts w:asciiTheme="minorHAnsi" w:hAnsiTheme="minorHAnsi"/>
        <w:b/>
      </w:rPr>
      <w:t>MoToLe</w:t>
    </w:r>
    <w:proofErr w:type="spellEnd"/>
    <w:r w:rsidRPr="00B20A6D">
      <w:rPr>
        <w:rFonts w:asciiTheme="minorHAnsi" w:hAnsiTheme="minorHAnsi"/>
        <w:b/>
      </w:rPr>
      <w:t xml:space="preserve">                                            </w:t>
    </w:r>
    <w:r>
      <w:rPr>
        <w:rFonts w:asciiTheme="minorHAnsi" w:hAnsiTheme="minorHAnsi"/>
        <w:b/>
      </w:rPr>
      <w:t xml:space="preserve">            </w:t>
    </w:r>
    <w:r w:rsidR="00D658E5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          </w:t>
    </w:r>
    <w:r w:rsidRPr="00B20A6D">
      <w:rPr>
        <w:rFonts w:asciiTheme="minorHAnsi" w:hAnsiTheme="minorHAnsi"/>
        <w:b/>
      </w:rPr>
      <w:t xml:space="preserve">    Project No. 2017-1-FR01-KA204-037385</w:t>
    </w:r>
  </w:p>
  <w:p w:rsidR="00B20A6D" w:rsidRDefault="00B20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54" w:rsidRDefault="00551554" w:rsidP="009B4C52">
      <w:r>
        <w:separator/>
      </w:r>
    </w:p>
  </w:footnote>
  <w:footnote w:type="continuationSeparator" w:id="0">
    <w:p w:rsidR="00551554" w:rsidRDefault="00551554" w:rsidP="009B4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B5" w:rsidRDefault="00B20A6D" w:rsidP="00817880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86360</wp:posOffset>
          </wp:positionV>
          <wp:extent cx="2630170" cy="748030"/>
          <wp:effectExtent l="1905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="0072039C">
      <w:t xml:space="preserve">          </w:t>
    </w:r>
    <w:r w:rsidR="005E261D" w:rsidRPr="005E261D">
      <w:rPr>
        <w:noProof/>
      </w:rPr>
      <w:drawing>
        <wp:inline distT="0" distB="0" distL="0" distR="0">
          <wp:extent cx="1362075" cy="676275"/>
          <wp:effectExtent l="19050" t="0" r="9525" b="0"/>
          <wp:docPr id="4" name="Picture 2" descr="C:\Users\user\Dropbox\i-MOTOLE_Internal_Inspira\C1\Logo_I-motole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user\Dropbox\i-MOTOLE_Internal_Inspira\C1\Logo_I-motole_PNG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39C">
      <w:t xml:space="preserve">                       </w:t>
    </w:r>
    <w:r w:rsidR="00817880" w:rsidRPr="00817880">
      <w:rPr>
        <w:noProof/>
      </w:rPr>
      <w:drawing>
        <wp:inline distT="0" distB="0" distL="0" distR="0">
          <wp:extent cx="819481" cy="829010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81" cy="82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39C"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79"/>
    <w:multiLevelType w:val="hybridMultilevel"/>
    <w:tmpl w:val="27B21B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2F4348"/>
    <w:multiLevelType w:val="hybridMultilevel"/>
    <w:tmpl w:val="A364C9A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A5470"/>
    <w:multiLevelType w:val="hybridMultilevel"/>
    <w:tmpl w:val="2198198A"/>
    <w:lvl w:ilvl="0" w:tplc="30C2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A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E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6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2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3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C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6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31603"/>
    <w:multiLevelType w:val="hybridMultilevel"/>
    <w:tmpl w:val="E92268E8"/>
    <w:lvl w:ilvl="0" w:tplc="E654B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0C4E">
      <w:start w:val="22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41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AA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ED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06F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0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48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B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000A"/>
    <w:multiLevelType w:val="hybridMultilevel"/>
    <w:tmpl w:val="3E6E5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4491"/>
    <w:multiLevelType w:val="hybridMultilevel"/>
    <w:tmpl w:val="7D10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24408"/>
    <w:multiLevelType w:val="hybridMultilevel"/>
    <w:tmpl w:val="70C827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076"/>
    <w:multiLevelType w:val="hybridMultilevel"/>
    <w:tmpl w:val="8EC82612"/>
    <w:lvl w:ilvl="0" w:tplc="52F8852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5BA"/>
    <w:multiLevelType w:val="hybridMultilevel"/>
    <w:tmpl w:val="142E9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0D6EC3"/>
    <w:multiLevelType w:val="hybridMultilevel"/>
    <w:tmpl w:val="0A361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8C378F"/>
    <w:multiLevelType w:val="hybridMultilevel"/>
    <w:tmpl w:val="70F4BA30"/>
    <w:lvl w:ilvl="0" w:tplc="38CA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E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E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A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8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C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4E6149"/>
    <w:multiLevelType w:val="hybridMultilevel"/>
    <w:tmpl w:val="F522A980"/>
    <w:lvl w:ilvl="0" w:tplc="5D28522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901F0"/>
    <w:multiLevelType w:val="hybridMultilevel"/>
    <w:tmpl w:val="E20C8AA2"/>
    <w:lvl w:ilvl="0" w:tplc="F3B03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C0FC0">
      <w:start w:val="24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80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05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D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A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C4C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88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377B2"/>
    <w:multiLevelType w:val="hybridMultilevel"/>
    <w:tmpl w:val="78BC51E8"/>
    <w:lvl w:ilvl="0" w:tplc="CB7E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85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A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06820"/>
    <w:multiLevelType w:val="hybridMultilevel"/>
    <w:tmpl w:val="A9BE7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47E7A"/>
    <w:multiLevelType w:val="multilevel"/>
    <w:tmpl w:val="D3D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502CE0"/>
    <w:multiLevelType w:val="hybridMultilevel"/>
    <w:tmpl w:val="9222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84971"/>
    <w:multiLevelType w:val="hybridMultilevel"/>
    <w:tmpl w:val="7E64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8732C"/>
    <w:multiLevelType w:val="hybridMultilevel"/>
    <w:tmpl w:val="51046362"/>
    <w:lvl w:ilvl="0" w:tplc="25708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1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07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D5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D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04C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6C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45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1367F"/>
    <w:multiLevelType w:val="hybridMultilevel"/>
    <w:tmpl w:val="FC70FA9E"/>
    <w:lvl w:ilvl="0" w:tplc="D1427488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6591"/>
    <w:multiLevelType w:val="hybridMultilevel"/>
    <w:tmpl w:val="5D6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32D30"/>
    <w:multiLevelType w:val="hybridMultilevel"/>
    <w:tmpl w:val="87962A1A"/>
    <w:lvl w:ilvl="0" w:tplc="9F26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4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8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C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8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487C5A"/>
    <w:multiLevelType w:val="hybridMultilevel"/>
    <w:tmpl w:val="9974611E"/>
    <w:lvl w:ilvl="0" w:tplc="5424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6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C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E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E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A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8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262E2B"/>
    <w:multiLevelType w:val="hybridMultilevel"/>
    <w:tmpl w:val="D5361764"/>
    <w:lvl w:ilvl="0" w:tplc="D316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0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2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4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21"/>
  </w:num>
  <w:num w:numId="7">
    <w:abstractNumId w:val="22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19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5C52"/>
    <w:rsid w:val="00010848"/>
    <w:rsid w:val="000168E8"/>
    <w:rsid w:val="0002212A"/>
    <w:rsid w:val="0002521F"/>
    <w:rsid w:val="0002737F"/>
    <w:rsid w:val="0004548C"/>
    <w:rsid w:val="000467DF"/>
    <w:rsid w:val="000859CD"/>
    <w:rsid w:val="0009408C"/>
    <w:rsid w:val="00094133"/>
    <w:rsid w:val="00094F5B"/>
    <w:rsid w:val="000E4795"/>
    <w:rsid w:val="00101966"/>
    <w:rsid w:val="00110390"/>
    <w:rsid w:val="00120501"/>
    <w:rsid w:val="001206F1"/>
    <w:rsid w:val="00133A83"/>
    <w:rsid w:val="00136285"/>
    <w:rsid w:val="00141920"/>
    <w:rsid w:val="00152A55"/>
    <w:rsid w:val="00154D31"/>
    <w:rsid w:val="00157575"/>
    <w:rsid w:val="001759D2"/>
    <w:rsid w:val="001762F5"/>
    <w:rsid w:val="00181830"/>
    <w:rsid w:val="00187E3F"/>
    <w:rsid w:val="001A5C52"/>
    <w:rsid w:val="001D01B3"/>
    <w:rsid w:val="001E3146"/>
    <w:rsid w:val="001F0D22"/>
    <w:rsid w:val="001F11EA"/>
    <w:rsid w:val="001F3EC2"/>
    <w:rsid w:val="001F512E"/>
    <w:rsid w:val="00206B5F"/>
    <w:rsid w:val="00215F2B"/>
    <w:rsid w:val="0023388B"/>
    <w:rsid w:val="0024226E"/>
    <w:rsid w:val="00265BA1"/>
    <w:rsid w:val="002838DF"/>
    <w:rsid w:val="002958EE"/>
    <w:rsid w:val="002A0707"/>
    <w:rsid w:val="002A3ADE"/>
    <w:rsid w:val="002A4079"/>
    <w:rsid w:val="002E41E9"/>
    <w:rsid w:val="002F3389"/>
    <w:rsid w:val="00311E44"/>
    <w:rsid w:val="00320A55"/>
    <w:rsid w:val="0032639C"/>
    <w:rsid w:val="00330564"/>
    <w:rsid w:val="00330EC9"/>
    <w:rsid w:val="003323C1"/>
    <w:rsid w:val="00337457"/>
    <w:rsid w:val="0034159D"/>
    <w:rsid w:val="00344EC4"/>
    <w:rsid w:val="00361224"/>
    <w:rsid w:val="00373CA5"/>
    <w:rsid w:val="00387635"/>
    <w:rsid w:val="00387C73"/>
    <w:rsid w:val="003B1CD7"/>
    <w:rsid w:val="003B501B"/>
    <w:rsid w:val="003B531E"/>
    <w:rsid w:val="003D51A0"/>
    <w:rsid w:val="003E07B0"/>
    <w:rsid w:val="003E7541"/>
    <w:rsid w:val="003F2219"/>
    <w:rsid w:val="00426442"/>
    <w:rsid w:val="00430CC5"/>
    <w:rsid w:val="004315F4"/>
    <w:rsid w:val="00454D1C"/>
    <w:rsid w:val="00465D80"/>
    <w:rsid w:val="004668E2"/>
    <w:rsid w:val="004727B8"/>
    <w:rsid w:val="004743CB"/>
    <w:rsid w:val="00477324"/>
    <w:rsid w:val="0047769D"/>
    <w:rsid w:val="00481833"/>
    <w:rsid w:val="00482217"/>
    <w:rsid w:val="00483280"/>
    <w:rsid w:val="00493A12"/>
    <w:rsid w:val="004943CC"/>
    <w:rsid w:val="004A3526"/>
    <w:rsid w:val="004A3CC7"/>
    <w:rsid w:val="004A4357"/>
    <w:rsid w:val="004A6F8C"/>
    <w:rsid w:val="004A7CDF"/>
    <w:rsid w:val="004C2A81"/>
    <w:rsid w:val="004C4124"/>
    <w:rsid w:val="004D2B38"/>
    <w:rsid w:val="004F486E"/>
    <w:rsid w:val="0050513D"/>
    <w:rsid w:val="00510656"/>
    <w:rsid w:val="00515F61"/>
    <w:rsid w:val="005167FC"/>
    <w:rsid w:val="00532D5F"/>
    <w:rsid w:val="00532DF6"/>
    <w:rsid w:val="005443D8"/>
    <w:rsid w:val="00551554"/>
    <w:rsid w:val="00581973"/>
    <w:rsid w:val="00583910"/>
    <w:rsid w:val="005858D0"/>
    <w:rsid w:val="005A12E5"/>
    <w:rsid w:val="005B4C20"/>
    <w:rsid w:val="005D6E7B"/>
    <w:rsid w:val="005E1692"/>
    <w:rsid w:val="005E261D"/>
    <w:rsid w:val="005E5139"/>
    <w:rsid w:val="0060037E"/>
    <w:rsid w:val="00602BEA"/>
    <w:rsid w:val="006049E8"/>
    <w:rsid w:val="00610C10"/>
    <w:rsid w:val="00612C70"/>
    <w:rsid w:val="00613C26"/>
    <w:rsid w:val="006201B5"/>
    <w:rsid w:val="00622978"/>
    <w:rsid w:val="006237B7"/>
    <w:rsid w:val="00627DEB"/>
    <w:rsid w:val="006402EF"/>
    <w:rsid w:val="0064768A"/>
    <w:rsid w:val="00673FA7"/>
    <w:rsid w:val="0068573E"/>
    <w:rsid w:val="00697DE9"/>
    <w:rsid w:val="006D295F"/>
    <w:rsid w:val="006D7DA8"/>
    <w:rsid w:val="006F75F4"/>
    <w:rsid w:val="007160E7"/>
    <w:rsid w:val="0072039C"/>
    <w:rsid w:val="00722820"/>
    <w:rsid w:val="00735B40"/>
    <w:rsid w:val="00751372"/>
    <w:rsid w:val="0075406F"/>
    <w:rsid w:val="00772DD2"/>
    <w:rsid w:val="00791034"/>
    <w:rsid w:val="0079147E"/>
    <w:rsid w:val="00796F25"/>
    <w:rsid w:val="007971FF"/>
    <w:rsid w:val="007B55B4"/>
    <w:rsid w:val="007B6383"/>
    <w:rsid w:val="007C6AD6"/>
    <w:rsid w:val="007D190D"/>
    <w:rsid w:val="007D2CA4"/>
    <w:rsid w:val="007D6A13"/>
    <w:rsid w:val="007E2633"/>
    <w:rsid w:val="007E37CB"/>
    <w:rsid w:val="00817880"/>
    <w:rsid w:val="00821D9C"/>
    <w:rsid w:val="008232F6"/>
    <w:rsid w:val="008347CA"/>
    <w:rsid w:val="00834B48"/>
    <w:rsid w:val="00841ADB"/>
    <w:rsid w:val="00843F43"/>
    <w:rsid w:val="00861457"/>
    <w:rsid w:val="008907C9"/>
    <w:rsid w:val="008931D3"/>
    <w:rsid w:val="008C1121"/>
    <w:rsid w:val="008D2D41"/>
    <w:rsid w:val="008D7778"/>
    <w:rsid w:val="008E0666"/>
    <w:rsid w:val="008F5F74"/>
    <w:rsid w:val="00900D56"/>
    <w:rsid w:val="00922F85"/>
    <w:rsid w:val="00941363"/>
    <w:rsid w:val="00954603"/>
    <w:rsid w:val="0096143A"/>
    <w:rsid w:val="00965D39"/>
    <w:rsid w:val="00982EF1"/>
    <w:rsid w:val="009B4C52"/>
    <w:rsid w:val="009C61DA"/>
    <w:rsid w:val="009C656E"/>
    <w:rsid w:val="009D0765"/>
    <w:rsid w:val="009E1DF3"/>
    <w:rsid w:val="009E2910"/>
    <w:rsid w:val="009E3021"/>
    <w:rsid w:val="009E4B13"/>
    <w:rsid w:val="00A04B60"/>
    <w:rsid w:val="00A1172C"/>
    <w:rsid w:val="00A317F2"/>
    <w:rsid w:val="00A417F1"/>
    <w:rsid w:val="00A421DB"/>
    <w:rsid w:val="00A71DBA"/>
    <w:rsid w:val="00A80458"/>
    <w:rsid w:val="00A92333"/>
    <w:rsid w:val="00A96937"/>
    <w:rsid w:val="00AB1E58"/>
    <w:rsid w:val="00AB5384"/>
    <w:rsid w:val="00AC1E6E"/>
    <w:rsid w:val="00AC60DA"/>
    <w:rsid w:val="00AD250F"/>
    <w:rsid w:val="00AF5044"/>
    <w:rsid w:val="00B00EB0"/>
    <w:rsid w:val="00B015DD"/>
    <w:rsid w:val="00B03303"/>
    <w:rsid w:val="00B200F4"/>
    <w:rsid w:val="00B20A6D"/>
    <w:rsid w:val="00B30E6C"/>
    <w:rsid w:val="00B312D3"/>
    <w:rsid w:val="00B3638F"/>
    <w:rsid w:val="00B4436B"/>
    <w:rsid w:val="00B54325"/>
    <w:rsid w:val="00B544FC"/>
    <w:rsid w:val="00B55EAA"/>
    <w:rsid w:val="00B62CF2"/>
    <w:rsid w:val="00B65F53"/>
    <w:rsid w:val="00B713AB"/>
    <w:rsid w:val="00B77048"/>
    <w:rsid w:val="00B948BF"/>
    <w:rsid w:val="00B96FA1"/>
    <w:rsid w:val="00BA013A"/>
    <w:rsid w:val="00BA17E6"/>
    <w:rsid w:val="00BB05A3"/>
    <w:rsid w:val="00BB1C68"/>
    <w:rsid w:val="00BC6335"/>
    <w:rsid w:val="00BC6AB7"/>
    <w:rsid w:val="00BD0191"/>
    <w:rsid w:val="00BD6D09"/>
    <w:rsid w:val="00BF432C"/>
    <w:rsid w:val="00C01EE4"/>
    <w:rsid w:val="00C16F4D"/>
    <w:rsid w:val="00C178BA"/>
    <w:rsid w:val="00C27428"/>
    <w:rsid w:val="00C27581"/>
    <w:rsid w:val="00C458CC"/>
    <w:rsid w:val="00C63666"/>
    <w:rsid w:val="00C6504F"/>
    <w:rsid w:val="00C7632E"/>
    <w:rsid w:val="00C83CE9"/>
    <w:rsid w:val="00C85797"/>
    <w:rsid w:val="00C85BCC"/>
    <w:rsid w:val="00C92442"/>
    <w:rsid w:val="00C93A08"/>
    <w:rsid w:val="00C962BD"/>
    <w:rsid w:val="00CA7835"/>
    <w:rsid w:val="00CC3188"/>
    <w:rsid w:val="00CD5858"/>
    <w:rsid w:val="00CE4DD8"/>
    <w:rsid w:val="00CE720A"/>
    <w:rsid w:val="00CF31BF"/>
    <w:rsid w:val="00D02348"/>
    <w:rsid w:val="00D25B1C"/>
    <w:rsid w:val="00D27FCF"/>
    <w:rsid w:val="00D34263"/>
    <w:rsid w:val="00D3788F"/>
    <w:rsid w:val="00D432B8"/>
    <w:rsid w:val="00D54EA1"/>
    <w:rsid w:val="00D63DE5"/>
    <w:rsid w:val="00D658E5"/>
    <w:rsid w:val="00D77C94"/>
    <w:rsid w:val="00D83618"/>
    <w:rsid w:val="00DA05F0"/>
    <w:rsid w:val="00DD3181"/>
    <w:rsid w:val="00DD3E8C"/>
    <w:rsid w:val="00DF24C3"/>
    <w:rsid w:val="00DF56C9"/>
    <w:rsid w:val="00E103D7"/>
    <w:rsid w:val="00E279CA"/>
    <w:rsid w:val="00E305C2"/>
    <w:rsid w:val="00E4216F"/>
    <w:rsid w:val="00E42612"/>
    <w:rsid w:val="00E501BF"/>
    <w:rsid w:val="00E55872"/>
    <w:rsid w:val="00E92304"/>
    <w:rsid w:val="00E97019"/>
    <w:rsid w:val="00EA56E5"/>
    <w:rsid w:val="00ED5F3E"/>
    <w:rsid w:val="00EE03D7"/>
    <w:rsid w:val="00EE7CAF"/>
    <w:rsid w:val="00EF34BE"/>
    <w:rsid w:val="00F116CB"/>
    <w:rsid w:val="00F123AD"/>
    <w:rsid w:val="00F23842"/>
    <w:rsid w:val="00F30CE7"/>
    <w:rsid w:val="00F41F88"/>
    <w:rsid w:val="00F5600C"/>
    <w:rsid w:val="00F73A4A"/>
    <w:rsid w:val="00F801B8"/>
    <w:rsid w:val="00F86E71"/>
    <w:rsid w:val="00F917C6"/>
    <w:rsid w:val="00F95EA1"/>
    <w:rsid w:val="00FA29AF"/>
    <w:rsid w:val="00FC40FA"/>
    <w:rsid w:val="00FD0F72"/>
    <w:rsid w:val="00FE1779"/>
    <w:rsid w:val="00FE2D06"/>
    <w:rsid w:val="00FF2CC6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93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5C52"/>
    <w:pPr>
      <w:keepNext/>
      <w:jc w:val="center"/>
      <w:outlineLvl w:val="1"/>
    </w:pPr>
    <w:rPr>
      <w:b/>
      <w:lang w:val="en-GB" w:eastAsia="en-GB"/>
    </w:rPr>
  </w:style>
  <w:style w:type="paragraph" w:styleId="Heading3">
    <w:name w:val="heading 3"/>
    <w:basedOn w:val="Normal"/>
    <w:next w:val="Normal"/>
    <w:qFormat/>
    <w:rsid w:val="0014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A5C52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5DD"/>
    <w:rPr>
      <w:color w:val="0000FF"/>
      <w:u w:val="single"/>
    </w:rPr>
  </w:style>
  <w:style w:type="paragraph" w:styleId="ListParagraph">
    <w:name w:val="List Paragraph"/>
    <w:basedOn w:val="Normal"/>
    <w:qFormat/>
    <w:rsid w:val="00141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3B531E"/>
    <w:pPr>
      <w:spacing w:before="100" w:beforeAutospacing="1" w:after="100" w:afterAutospacing="1"/>
    </w:pPr>
  </w:style>
  <w:style w:type="table" w:styleId="TableGrid">
    <w:name w:val="Table Grid"/>
    <w:basedOn w:val="TableNormal"/>
    <w:rsid w:val="009C65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37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E37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1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0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5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M6 Educational Centre</vt:lpstr>
      <vt:lpstr>The M6 Educational Centre</vt:lpstr>
    </vt:vector>
  </TitlesOfParts>
  <Company/>
  <LinksUpToDate>false</LinksUpToDate>
  <CharactersWithSpaces>4057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mailto:contact@m6.edu.mk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M6 Educational Centre</dc:title>
  <dc:creator>AmCham</dc:creator>
  <cp:lastModifiedBy>user</cp:lastModifiedBy>
  <cp:revision>19</cp:revision>
  <cp:lastPrinted>2018-09-14T10:26:00Z</cp:lastPrinted>
  <dcterms:created xsi:type="dcterms:W3CDTF">2018-11-19T11:50:00Z</dcterms:created>
  <dcterms:modified xsi:type="dcterms:W3CDTF">2018-11-19T16:26:00Z</dcterms:modified>
</cp:coreProperties>
</file>